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C820B" w14:textId="05191DB9" w:rsidR="00964FBA" w:rsidRPr="00EC07FE" w:rsidRDefault="000E6D40" w:rsidP="00EC07FE">
      <w:pPr>
        <w:spacing w:line="360" w:lineRule="auto"/>
        <w:rPr>
          <w:rFonts w:eastAsia="Gulim" w:cs="Calibri"/>
          <w:i/>
        </w:rPr>
      </w:pPr>
      <w:r w:rsidRPr="00EC07FE">
        <w:rPr>
          <w:rFonts w:eastAsia="Gulim" w:cs="Calibri"/>
        </w:rPr>
        <w:t xml:space="preserve">Classic </w:t>
      </w:r>
      <w:proofErr w:type="spellStart"/>
      <w:r w:rsidRPr="00EC07FE">
        <w:rPr>
          <w:rFonts w:eastAsia="Gulim" w:cs="Calibri"/>
        </w:rPr>
        <w:t>Galactosemia</w:t>
      </w:r>
      <w:proofErr w:type="spellEnd"/>
      <w:r w:rsidRPr="00EC07FE">
        <w:rPr>
          <w:rFonts w:eastAsia="Gulim" w:cs="Calibri"/>
        </w:rPr>
        <w:t xml:space="preserve"> (CG)</w:t>
      </w:r>
      <w:r w:rsidR="004C6E4D" w:rsidRPr="00EC07FE">
        <w:rPr>
          <w:rFonts w:eastAsia="Gulim" w:cs="Calibri"/>
        </w:rPr>
        <w:t xml:space="preserve"> is</w:t>
      </w:r>
      <w:r w:rsidRPr="00EC07FE">
        <w:rPr>
          <w:rFonts w:eastAsia="Gulim" w:cs="Calibri"/>
        </w:rPr>
        <w:t xml:space="preserve"> characterized by the inability to metabolize the </w:t>
      </w:r>
      <w:r w:rsidR="006F3739" w:rsidRPr="00EC07FE">
        <w:rPr>
          <w:rFonts w:eastAsia="Gulim" w:cs="Calibri"/>
        </w:rPr>
        <w:t>monosaccharide</w:t>
      </w:r>
      <w:r w:rsidR="007250B7" w:rsidRPr="00EC07FE">
        <w:rPr>
          <w:rFonts w:eastAsia="Gulim" w:cs="Calibri"/>
        </w:rPr>
        <w:t xml:space="preserve"> </w:t>
      </w:r>
      <w:proofErr w:type="spellStart"/>
      <w:r w:rsidR="007250B7" w:rsidRPr="00EC07FE">
        <w:rPr>
          <w:rFonts w:eastAsia="Gulim" w:cs="Calibri"/>
        </w:rPr>
        <w:t>galactose</w:t>
      </w:r>
      <w:proofErr w:type="spellEnd"/>
      <w:r w:rsidR="00867172" w:rsidRPr="00EC07FE">
        <w:rPr>
          <w:rFonts w:eastAsia="Gulim" w:cs="Calibri"/>
        </w:rPr>
        <w:t>,</w:t>
      </w:r>
      <w:r w:rsidR="00DA19AA" w:rsidRPr="00EC07FE">
        <w:rPr>
          <w:rFonts w:eastAsia="Gulim" w:cs="Calibri"/>
        </w:rPr>
        <w:t xml:space="preserve"> </w:t>
      </w:r>
      <w:r w:rsidR="0071524A" w:rsidRPr="00EC07FE">
        <w:rPr>
          <w:rFonts w:eastAsia="Gulim" w:cs="Calibri"/>
        </w:rPr>
        <w:t>prompting</w:t>
      </w:r>
      <w:r w:rsidR="00DA19AA" w:rsidRPr="00EC07FE">
        <w:rPr>
          <w:rFonts w:eastAsia="Gulim" w:cs="Calibri"/>
        </w:rPr>
        <w:t xml:space="preserve"> a buildup </w:t>
      </w:r>
      <w:r w:rsidR="0061479C" w:rsidRPr="00EC07FE">
        <w:rPr>
          <w:rFonts w:eastAsia="Gulim" w:cs="Calibri"/>
        </w:rPr>
        <w:t xml:space="preserve">of </w:t>
      </w:r>
      <w:proofErr w:type="spellStart"/>
      <w:r w:rsidR="0061479C" w:rsidRPr="00EC07FE">
        <w:rPr>
          <w:rFonts w:eastAsia="Gulim" w:cs="Calibri"/>
        </w:rPr>
        <w:t>galactose</w:t>
      </w:r>
      <w:proofErr w:type="spellEnd"/>
      <w:r w:rsidR="0061479C" w:rsidRPr="00EC07FE">
        <w:rPr>
          <w:rFonts w:eastAsia="Gulim" w:cs="Calibri"/>
        </w:rPr>
        <w:t xml:space="preserve"> in the bloodstream</w:t>
      </w:r>
      <w:r w:rsidR="00DF47A7" w:rsidRPr="00EC07FE">
        <w:rPr>
          <w:rFonts w:eastAsia="Gulim" w:cs="Calibri"/>
        </w:rPr>
        <w:t xml:space="preserve"> [1]</w:t>
      </w:r>
      <w:r w:rsidR="00A23683" w:rsidRPr="00EC07FE">
        <w:rPr>
          <w:rFonts w:eastAsia="Gulim" w:cs="Calibri"/>
        </w:rPr>
        <w:t xml:space="preserve">. </w:t>
      </w:r>
      <w:proofErr w:type="spellStart"/>
      <w:r w:rsidR="00B32CA6" w:rsidRPr="00EC07FE">
        <w:rPr>
          <w:rFonts w:eastAsia="Gulim" w:cs="Calibri"/>
        </w:rPr>
        <w:t>Galactosemia</w:t>
      </w:r>
      <w:proofErr w:type="spellEnd"/>
      <w:r w:rsidR="000758E5" w:rsidRPr="00EC07FE">
        <w:rPr>
          <w:rFonts w:eastAsia="Gulim" w:cs="Calibri"/>
        </w:rPr>
        <w:t xml:space="preserve"> is caused by a</w:t>
      </w:r>
      <w:r w:rsidR="0071524A" w:rsidRPr="00EC07FE">
        <w:rPr>
          <w:rFonts w:eastAsia="Gulim" w:cs="Calibri"/>
        </w:rPr>
        <w:t xml:space="preserve"> </w:t>
      </w:r>
      <w:r w:rsidR="003560F5" w:rsidRPr="00EC07FE">
        <w:rPr>
          <w:rFonts w:eastAsia="Gulim" w:cs="Calibri"/>
        </w:rPr>
        <w:t>variety</w:t>
      </w:r>
      <w:r w:rsidR="0071524A" w:rsidRPr="00EC07FE">
        <w:rPr>
          <w:rFonts w:eastAsia="Gulim" w:cs="Calibri"/>
        </w:rPr>
        <w:t xml:space="preserve"> of </w:t>
      </w:r>
      <w:r w:rsidR="000758E5" w:rsidRPr="00EC07FE">
        <w:rPr>
          <w:rFonts w:eastAsia="Gulim" w:cs="Calibri"/>
        </w:rPr>
        <w:t>loss of function mutation</w:t>
      </w:r>
      <w:r w:rsidR="003560F5" w:rsidRPr="00EC07FE">
        <w:rPr>
          <w:rFonts w:eastAsia="Gulim" w:cs="Calibri"/>
        </w:rPr>
        <w:t>s</w:t>
      </w:r>
      <w:r w:rsidR="000758E5" w:rsidRPr="00EC07FE">
        <w:rPr>
          <w:rFonts w:eastAsia="Gulim" w:cs="Calibri"/>
        </w:rPr>
        <w:t xml:space="preserve"> in the </w:t>
      </w:r>
      <w:r w:rsidR="000758E5" w:rsidRPr="00EC07FE">
        <w:rPr>
          <w:rFonts w:eastAsia="Gulim" w:cs="Calibri"/>
          <w:i/>
        </w:rPr>
        <w:t>GALT</w:t>
      </w:r>
      <w:r w:rsidR="000758E5" w:rsidRPr="00EC07FE">
        <w:rPr>
          <w:rFonts w:eastAsia="Gulim" w:cs="Calibri"/>
        </w:rPr>
        <w:t xml:space="preserve"> gene, which encodes a galactose-1-phosphate </w:t>
      </w:r>
      <w:proofErr w:type="spellStart"/>
      <w:r w:rsidR="000758E5" w:rsidRPr="00EC07FE">
        <w:rPr>
          <w:rFonts w:eastAsia="Gulim" w:cs="Calibri"/>
        </w:rPr>
        <w:t>uridylyltransferase</w:t>
      </w:r>
      <w:proofErr w:type="spellEnd"/>
      <w:r w:rsidR="00867172" w:rsidRPr="00EC07FE">
        <w:rPr>
          <w:rFonts w:eastAsia="Gulim" w:cs="Calibri"/>
        </w:rPr>
        <w:t xml:space="preserve">, the second enzyme in the Leloir </w:t>
      </w:r>
      <w:r w:rsidR="00BA7B8F" w:rsidRPr="00EC07FE">
        <w:rPr>
          <w:rFonts w:eastAsia="Gulim" w:cs="Calibri"/>
        </w:rPr>
        <w:t>pathway [</w:t>
      </w:r>
      <w:r w:rsidR="008371E2" w:rsidRPr="00EC07FE">
        <w:rPr>
          <w:rFonts w:eastAsia="Gulim" w:cs="Calibri"/>
        </w:rPr>
        <w:t>1]</w:t>
      </w:r>
      <w:r w:rsidR="00867172" w:rsidRPr="00EC07FE">
        <w:rPr>
          <w:rFonts w:eastAsia="Gulim" w:cs="Calibri"/>
        </w:rPr>
        <w:t xml:space="preserve">. </w:t>
      </w:r>
      <w:r w:rsidR="00C25006" w:rsidRPr="00EC07FE">
        <w:rPr>
          <w:rFonts w:eastAsia="Gulim" w:cs="Calibri"/>
        </w:rPr>
        <w:t>Phenotypes</w:t>
      </w:r>
      <w:r w:rsidR="002A320B" w:rsidRPr="00EC07FE">
        <w:rPr>
          <w:rFonts w:eastAsia="Gulim" w:cs="Calibri"/>
        </w:rPr>
        <w:t xml:space="preserve"> of </w:t>
      </w:r>
      <w:proofErr w:type="spellStart"/>
      <w:r w:rsidR="00B32CA6" w:rsidRPr="00EC07FE">
        <w:rPr>
          <w:rFonts w:eastAsia="Gulim" w:cs="Calibri"/>
        </w:rPr>
        <w:t>g</w:t>
      </w:r>
      <w:r w:rsidR="00B32CA6" w:rsidRPr="00EC07FE">
        <w:rPr>
          <w:rFonts w:eastAsia="Gulim" w:cs="Calibri"/>
        </w:rPr>
        <w:t>alactosemia</w:t>
      </w:r>
      <w:proofErr w:type="spellEnd"/>
      <w:r w:rsidR="00B32CA6" w:rsidRPr="00EC07FE">
        <w:rPr>
          <w:rFonts w:eastAsia="Gulim" w:cs="Calibri"/>
        </w:rPr>
        <w:t xml:space="preserve"> </w:t>
      </w:r>
      <w:r w:rsidR="00C25006" w:rsidRPr="00EC07FE">
        <w:rPr>
          <w:rFonts w:eastAsia="Gulim" w:cs="Calibri"/>
        </w:rPr>
        <w:t>are</w:t>
      </w:r>
      <w:r w:rsidR="00E32A7E" w:rsidRPr="00EC07FE">
        <w:rPr>
          <w:rFonts w:eastAsia="Gulim" w:cs="Calibri"/>
        </w:rPr>
        <w:t xml:space="preserve"> manifested in a wide variety of symptoms, including kidney failure, liver damage, cataracts, abnormal bleeding, jaundice, failure to thrive, and intellectual disabilities</w:t>
      </w:r>
      <w:r w:rsidR="007E58F7" w:rsidRPr="00EC07FE">
        <w:rPr>
          <w:rFonts w:eastAsia="Gulim" w:cs="Calibri"/>
        </w:rPr>
        <w:t xml:space="preserve"> [2]</w:t>
      </w:r>
      <w:r w:rsidR="002E4817" w:rsidRPr="00EC07FE">
        <w:rPr>
          <w:rFonts w:eastAsia="Gulim" w:cs="Calibri"/>
        </w:rPr>
        <w:t>.</w:t>
      </w:r>
      <w:r w:rsidR="00161F9E" w:rsidRPr="00EC07FE">
        <w:rPr>
          <w:rFonts w:eastAsia="Gulim" w:cs="Calibri"/>
        </w:rPr>
        <w:t xml:space="preserve"> </w:t>
      </w:r>
      <w:proofErr w:type="spellStart"/>
      <w:r w:rsidR="00B32CA6" w:rsidRPr="00EC07FE">
        <w:rPr>
          <w:rFonts w:eastAsia="Gulim" w:cs="Calibri"/>
        </w:rPr>
        <w:t>Galactosemia</w:t>
      </w:r>
      <w:proofErr w:type="spellEnd"/>
      <w:r w:rsidR="00B32CA6" w:rsidRPr="00EC07FE">
        <w:rPr>
          <w:rFonts w:eastAsia="Gulim" w:cs="Calibri"/>
        </w:rPr>
        <w:t xml:space="preserve"> </w:t>
      </w:r>
      <w:r w:rsidR="00753D59" w:rsidRPr="00EC07FE">
        <w:rPr>
          <w:rFonts w:eastAsia="Gulim" w:cs="Calibri"/>
        </w:rPr>
        <w:t xml:space="preserve">can be managed by excluding exogenous sources of </w:t>
      </w:r>
      <w:proofErr w:type="spellStart"/>
      <w:r w:rsidR="00753D59" w:rsidRPr="00EC07FE">
        <w:rPr>
          <w:rFonts w:eastAsia="Gulim" w:cs="Calibri"/>
        </w:rPr>
        <w:t>galactose</w:t>
      </w:r>
      <w:proofErr w:type="spellEnd"/>
      <w:r w:rsidR="00753D59" w:rsidRPr="00EC07FE">
        <w:rPr>
          <w:rFonts w:eastAsia="Gulim" w:cs="Calibri"/>
        </w:rPr>
        <w:t xml:space="preserve"> (diet), </w:t>
      </w:r>
      <w:r w:rsidR="00E33573" w:rsidRPr="00EC07FE">
        <w:rPr>
          <w:rFonts w:eastAsia="Gulim" w:cs="Calibri"/>
        </w:rPr>
        <w:t>however</w:t>
      </w:r>
      <w:r w:rsidR="00753D59" w:rsidRPr="00EC07FE">
        <w:rPr>
          <w:rFonts w:eastAsia="Gulim" w:cs="Calibri"/>
        </w:rPr>
        <w:t xml:space="preserve">, </w:t>
      </w:r>
      <w:r w:rsidR="008B6705" w:rsidRPr="00EC07FE">
        <w:rPr>
          <w:rFonts w:eastAsia="Gulim" w:cs="Calibri"/>
        </w:rPr>
        <w:t xml:space="preserve">in </w:t>
      </w:r>
      <w:r w:rsidR="00D228E5" w:rsidRPr="00EC07FE">
        <w:rPr>
          <w:rFonts w:eastAsia="Gulim" w:cs="Calibri"/>
        </w:rPr>
        <w:t>females</w:t>
      </w:r>
      <w:r w:rsidR="00154CE3" w:rsidRPr="00EC07FE">
        <w:rPr>
          <w:rFonts w:eastAsia="Gulim" w:cs="Calibri"/>
        </w:rPr>
        <w:t>,</w:t>
      </w:r>
      <w:r w:rsidR="00161F9E" w:rsidRPr="00EC07FE">
        <w:rPr>
          <w:rFonts w:eastAsia="Gulim" w:cs="Calibri"/>
        </w:rPr>
        <w:t xml:space="preserve"> 87% displayed premature ovarian insufficiency</w:t>
      </w:r>
      <w:r w:rsidR="001E50CF" w:rsidRPr="00EC07FE">
        <w:rPr>
          <w:rFonts w:eastAsia="Gulim" w:cs="Calibri"/>
        </w:rPr>
        <w:t xml:space="preserve">, even when put on a </w:t>
      </w:r>
      <w:proofErr w:type="spellStart"/>
      <w:r w:rsidR="001E50CF" w:rsidRPr="00EC07FE">
        <w:rPr>
          <w:rFonts w:eastAsia="Gulim" w:cs="Calibri"/>
        </w:rPr>
        <w:t>g</w:t>
      </w:r>
      <w:r w:rsidR="00463C50" w:rsidRPr="00EC07FE">
        <w:rPr>
          <w:rFonts w:eastAsia="Gulim" w:cs="Calibri"/>
        </w:rPr>
        <w:t>alactose</w:t>
      </w:r>
      <w:proofErr w:type="spellEnd"/>
      <w:r w:rsidR="00463C50" w:rsidRPr="00EC07FE">
        <w:rPr>
          <w:rFonts w:eastAsia="Gulim" w:cs="Calibri"/>
        </w:rPr>
        <w:t xml:space="preserve"> </w:t>
      </w:r>
      <w:r w:rsidR="003B4B06" w:rsidRPr="00EC07FE">
        <w:rPr>
          <w:rFonts w:eastAsia="Gulim" w:cs="Calibri"/>
        </w:rPr>
        <w:t>restricted</w:t>
      </w:r>
      <w:r w:rsidR="00463C50" w:rsidRPr="00EC07FE">
        <w:rPr>
          <w:rFonts w:eastAsia="Gulim" w:cs="Calibri"/>
        </w:rPr>
        <w:t xml:space="preserve"> diet from birth [2</w:t>
      </w:r>
      <w:r w:rsidR="001E50CF" w:rsidRPr="00EC07FE">
        <w:rPr>
          <w:rFonts w:eastAsia="Gulim" w:cs="Calibri"/>
        </w:rPr>
        <w:t>]</w:t>
      </w:r>
      <w:r w:rsidR="00702C86" w:rsidRPr="00EC07FE">
        <w:rPr>
          <w:rFonts w:eastAsia="Gulim" w:cs="Calibri"/>
        </w:rPr>
        <w:t>.</w:t>
      </w:r>
      <w:r w:rsidR="00463C50" w:rsidRPr="00EC07FE">
        <w:rPr>
          <w:rFonts w:eastAsia="Gulim" w:cs="Calibri"/>
        </w:rPr>
        <w:t xml:space="preserve"> </w:t>
      </w:r>
      <w:r w:rsidR="00964FBA" w:rsidRPr="00EC07FE">
        <w:rPr>
          <w:rFonts w:eastAsia="Gulim" w:cs="Calibri"/>
        </w:rPr>
        <w:t xml:space="preserve">Furthermore, known biochemical markers of </w:t>
      </w:r>
      <w:proofErr w:type="spellStart"/>
      <w:r w:rsidR="00BC08FD" w:rsidRPr="00EC07FE">
        <w:rPr>
          <w:rFonts w:eastAsia="Gulim" w:cs="Calibri"/>
        </w:rPr>
        <w:t>g</w:t>
      </w:r>
      <w:r w:rsidR="00BC08FD" w:rsidRPr="00EC07FE">
        <w:rPr>
          <w:rFonts w:eastAsia="Gulim" w:cs="Calibri"/>
        </w:rPr>
        <w:t>alactosemia</w:t>
      </w:r>
      <w:proofErr w:type="spellEnd"/>
      <w:r w:rsidR="00964FBA" w:rsidRPr="00EC07FE">
        <w:rPr>
          <w:rFonts w:eastAsia="Gulim" w:cs="Calibri"/>
        </w:rPr>
        <w:t>,</w:t>
      </w:r>
      <w:r w:rsidR="00E35EFB" w:rsidRPr="00EC07FE">
        <w:rPr>
          <w:rFonts w:eastAsia="Gulim" w:cs="Calibri"/>
        </w:rPr>
        <w:t xml:space="preserve"> </w:t>
      </w:r>
      <w:r w:rsidR="00535E1D" w:rsidRPr="00EC07FE">
        <w:rPr>
          <w:rFonts w:eastAsia="Gulim" w:cs="Calibri"/>
        </w:rPr>
        <w:t>namely</w:t>
      </w:r>
      <w:r w:rsidR="00964FBA" w:rsidRPr="00EC07FE">
        <w:rPr>
          <w:rFonts w:eastAsia="Gulim" w:cs="Calibri"/>
        </w:rPr>
        <w:t xml:space="preserve"> elevated levels of erythrocyte galactose-1-phosphate and urinary </w:t>
      </w:r>
      <w:proofErr w:type="spellStart"/>
      <w:r w:rsidR="00964FBA" w:rsidRPr="00EC07FE">
        <w:rPr>
          <w:rFonts w:eastAsia="Gulim" w:cs="Calibri"/>
        </w:rPr>
        <w:t>galactitol</w:t>
      </w:r>
      <w:proofErr w:type="spellEnd"/>
      <w:r w:rsidR="00964FBA" w:rsidRPr="00EC07FE">
        <w:rPr>
          <w:rFonts w:eastAsia="Gulim" w:cs="Calibri"/>
        </w:rPr>
        <w:t>, do not correlate with the long term outcome of</w:t>
      </w:r>
      <w:r w:rsidR="00DF177B" w:rsidRPr="00EC07FE">
        <w:rPr>
          <w:rFonts w:eastAsia="Gulim" w:cs="Calibri"/>
        </w:rPr>
        <w:t xml:space="preserve"> </w:t>
      </w:r>
      <w:r w:rsidR="002F0A10" w:rsidRPr="00EC07FE">
        <w:rPr>
          <w:rFonts w:eastAsia="Gulim" w:cs="Calibri"/>
        </w:rPr>
        <w:t xml:space="preserve">premature ovarian insufficiency </w:t>
      </w:r>
      <w:r w:rsidR="00463C50" w:rsidRPr="00EC07FE">
        <w:rPr>
          <w:rFonts w:eastAsia="Gulim" w:cs="Calibri"/>
        </w:rPr>
        <w:t>[3</w:t>
      </w:r>
      <w:r w:rsidR="00BA7B8F" w:rsidRPr="00EC07FE">
        <w:rPr>
          <w:rFonts w:eastAsia="Gulim" w:cs="Calibri"/>
        </w:rPr>
        <w:t>]</w:t>
      </w:r>
      <w:r w:rsidR="00964FBA" w:rsidRPr="00EC07FE">
        <w:rPr>
          <w:rFonts w:eastAsia="Gulim" w:cs="Calibri"/>
        </w:rPr>
        <w:t xml:space="preserve">. </w:t>
      </w:r>
      <w:r w:rsidR="00F31D78" w:rsidRPr="00EC07FE">
        <w:rPr>
          <w:rFonts w:eastAsia="Gulim" w:cs="Calibri"/>
        </w:rPr>
        <w:t>Evidence shows that endogenous galactose</w:t>
      </w:r>
      <w:r w:rsidR="00080F8A" w:rsidRPr="00EC07FE">
        <w:rPr>
          <w:rFonts w:eastAsia="Gulim" w:cs="Calibri"/>
        </w:rPr>
        <w:t>-1-phosphate</w:t>
      </w:r>
      <w:r w:rsidR="00F31D78" w:rsidRPr="00EC07FE">
        <w:rPr>
          <w:rFonts w:eastAsia="Gulim" w:cs="Calibri"/>
        </w:rPr>
        <w:t xml:space="preserve"> </w:t>
      </w:r>
      <w:r w:rsidR="00D310BC" w:rsidRPr="00EC07FE">
        <w:rPr>
          <w:rFonts w:eastAsia="Gulim" w:cs="Calibri"/>
        </w:rPr>
        <w:t>levels can reach 1.0-2.0 g/day [4]</w:t>
      </w:r>
      <w:r w:rsidR="006B47AE" w:rsidRPr="00EC07FE">
        <w:rPr>
          <w:rFonts w:eastAsia="Gulim" w:cs="Calibri"/>
        </w:rPr>
        <w:t xml:space="preserve">, however, the </w:t>
      </w:r>
      <w:r w:rsidR="00080F8A" w:rsidRPr="00EC07FE">
        <w:rPr>
          <w:rFonts w:eastAsia="Gulim" w:cs="Calibri"/>
        </w:rPr>
        <w:t xml:space="preserve">role of endogenous </w:t>
      </w:r>
      <w:r w:rsidR="00080F8A" w:rsidRPr="00EC07FE">
        <w:rPr>
          <w:rFonts w:eastAsia="Gulim" w:cs="Calibri"/>
        </w:rPr>
        <w:t>galactose-1-phosphate</w:t>
      </w:r>
      <w:r w:rsidR="00080F8A" w:rsidRPr="00EC07FE">
        <w:rPr>
          <w:rFonts w:eastAsia="Gulim" w:cs="Calibri"/>
        </w:rPr>
        <w:t xml:space="preserve"> in long term outcome is </w:t>
      </w:r>
      <w:proofErr w:type="spellStart"/>
      <w:r w:rsidR="00080F8A" w:rsidRPr="00EC07FE">
        <w:rPr>
          <w:rFonts w:eastAsia="Gulim" w:cs="Calibri"/>
        </w:rPr>
        <w:t>unkown</w:t>
      </w:r>
      <w:proofErr w:type="spellEnd"/>
      <w:r w:rsidR="00080F8A" w:rsidRPr="00EC07FE">
        <w:rPr>
          <w:rFonts w:eastAsia="Gulim" w:cs="Calibri"/>
        </w:rPr>
        <w:t xml:space="preserve">. </w:t>
      </w:r>
      <w:r w:rsidR="00080F8A" w:rsidRPr="00EC07FE">
        <w:rPr>
          <w:rFonts w:eastAsia="Gulim" w:cs="Calibri"/>
          <w:i/>
        </w:rPr>
        <w:t xml:space="preserve">Further, it is unknown how perturbations in </w:t>
      </w:r>
      <w:proofErr w:type="spellStart"/>
      <w:r w:rsidR="00080F8A" w:rsidRPr="00EC07FE">
        <w:rPr>
          <w:rFonts w:eastAsia="Gulim" w:cs="Calibri"/>
          <w:i/>
        </w:rPr>
        <w:t>galactose</w:t>
      </w:r>
      <w:proofErr w:type="spellEnd"/>
      <w:r w:rsidR="00080F8A" w:rsidRPr="00EC07FE">
        <w:rPr>
          <w:rFonts w:eastAsia="Gulim" w:cs="Calibri"/>
          <w:i/>
        </w:rPr>
        <w:t xml:space="preserve"> metabolism caused by GALT </w:t>
      </w:r>
      <w:r w:rsidR="00D018AD" w:rsidRPr="00EC07FE">
        <w:rPr>
          <w:rFonts w:eastAsia="Gulim" w:cs="Calibri"/>
          <w:i/>
        </w:rPr>
        <w:t xml:space="preserve">deficiency cause disease phenotypes to arise, even when </w:t>
      </w:r>
      <w:proofErr w:type="spellStart"/>
      <w:r w:rsidR="00D018AD" w:rsidRPr="00EC07FE">
        <w:rPr>
          <w:rFonts w:eastAsia="Gulim" w:cs="Calibri"/>
          <w:i/>
        </w:rPr>
        <w:t>galactose</w:t>
      </w:r>
      <w:proofErr w:type="spellEnd"/>
      <w:r w:rsidR="00D018AD" w:rsidRPr="00EC07FE">
        <w:rPr>
          <w:rFonts w:eastAsia="Gulim" w:cs="Calibri"/>
          <w:i/>
        </w:rPr>
        <w:t xml:space="preserve"> is eliminated from the diet.</w:t>
      </w:r>
    </w:p>
    <w:p w14:paraId="163E7D54" w14:textId="77777777" w:rsidR="00B04FEA" w:rsidRPr="00EC07FE" w:rsidRDefault="00B04FEA" w:rsidP="00EC07FE">
      <w:pPr>
        <w:spacing w:line="360" w:lineRule="auto"/>
        <w:rPr>
          <w:rFonts w:eastAsia="Gulim" w:cs="Calibri"/>
          <w:i/>
        </w:rPr>
      </w:pPr>
    </w:p>
    <w:p w14:paraId="12CF1267" w14:textId="0681E503" w:rsidR="00CA071F" w:rsidRDefault="00B04FEA" w:rsidP="00EC07FE">
      <w:pPr>
        <w:spacing w:line="360" w:lineRule="auto"/>
        <w:rPr>
          <w:rFonts w:eastAsia="Times New Roman" w:cs="Times New Roman"/>
          <w:iCs/>
          <w:color w:val="252525"/>
          <w:shd w:val="clear" w:color="auto" w:fill="FFFFFF"/>
        </w:rPr>
      </w:pPr>
      <w:r w:rsidRPr="00EC07FE">
        <w:rPr>
          <w:rFonts w:eastAsia="Gulim" w:cs="Calibri"/>
        </w:rPr>
        <w:t xml:space="preserve">My </w:t>
      </w:r>
      <w:r w:rsidRPr="00EC07FE">
        <w:rPr>
          <w:rFonts w:eastAsia="Gulim" w:cs="Calibri"/>
          <w:b/>
        </w:rPr>
        <w:t>primary goal</w:t>
      </w:r>
      <w:r w:rsidRPr="00EC07FE">
        <w:rPr>
          <w:rFonts w:eastAsia="Gulim" w:cs="Calibri"/>
        </w:rPr>
        <w:t xml:space="preserve"> is </w:t>
      </w:r>
      <w:r w:rsidR="00B72126" w:rsidRPr="00EC07FE">
        <w:rPr>
          <w:rFonts w:eastAsia="Gulim" w:cs="Calibri"/>
        </w:rPr>
        <w:t xml:space="preserve">elucidating the broader role of </w:t>
      </w:r>
      <w:r w:rsidR="00B72126" w:rsidRPr="00EC07FE">
        <w:rPr>
          <w:rFonts w:eastAsia="Gulim" w:cs="Calibri"/>
          <w:i/>
        </w:rPr>
        <w:t>GALT</w:t>
      </w:r>
      <w:r w:rsidR="00B72126" w:rsidRPr="00EC07FE">
        <w:rPr>
          <w:rFonts w:eastAsia="Gulim" w:cs="Calibri"/>
        </w:rPr>
        <w:t xml:space="preserve"> outside its well known role in </w:t>
      </w:r>
      <w:proofErr w:type="spellStart"/>
      <w:r w:rsidR="00B72126" w:rsidRPr="00EC07FE">
        <w:rPr>
          <w:rFonts w:eastAsia="Gulim" w:cs="Calibri"/>
        </w:rPr>
        <w:t>galactose</w:t>
      </w:r>
      <w:proofErr w:type="spellEnd"/>
      <w:r w:rsidR="00B72126" w:rsidRPr="00EC07FE">
        <w:rPr>
          <w:rFonts w:eastAsia="Gulim" w:cs="Calibri"/>
        </w:rPr>
        <w:t xml:space="preserve"> catabolism. </w:t>
      </w:r>
      <w:r w:rsidR="00CA071F" w:rsidRPr="00EC07FE">
        <w:rPr>
          <w:rFonts w:eastAsia="Gulim" w:cs="Calibri"/>
        </w:rPr>
        <w:t xml:space="preserve">I will use </w:t>
      </w:r>
      <w:r w:rsidR="00EC3168">
        <w:rPr>
          <w:rFonts w:eastAsia="Gulim" w:cs="Calibri"/>
        </w:rPr>
        <w:t>both</w:t>
      </w:r>
      <w:r w:rsidR="00CA071F" w:rsidRPr="00EC07FE">
        <w:rPr>
          <w:rFonts w:eastAsia="Gulim" w:cs="Calibri"/>
        </w:rPr>
        <w:t xml:space="preserve"> </w:t>
      </w:r>
      <w:r w:rsidR="00EC3168">
        <w:rPr>
          <w:rFonts w:eastAsia="Gulim" w:cs="Calibri"/>
        </w:rPr>
        <w:t>the common mouse (</w:t>
      </w:r>
      <w:proofErr w:type="spellStart"/>
      <w:r w:rsidR="00CA071F" w:rsidRPr="00EC07FE">
        <w:rPr>
          <w:rFonts w:eastAsia="Times New Roman" w:cs="Times New Roman"/>
          <w:i/>
          <w:iCs/>
          <w:color w:val="252525"/>
          <w:shd w:val="clear" w:color="auto" w:fill="FFFFFF"/>
        </w:rPr>
        <w:t>Mus</w:t>
      </w:r>
      <w:proofErr w:type="spellEnd"/>
      <w:r w:rsidR="00CA071F" w:rsidRPr="00EC07FE">
        <w:rPr>
          <w:rFonts w:eastAsia="Times New Roman" w:cs="Times New Roman"/>
          <w:i/>
          <w:iCs/>
          <w:color w:val="252525"/>
          <w:shd w:val="clear" w:color="auto" w:fill="FFFFFF"/>
        </w:rPr>
        <w:t xml:space="preserve"> </w:t>
      </w:r>
      <w:proofErr w:type="spellStart"/>
      <w:r w:rsidR="00CA071F" w:rsidRPr="00EC07FE">
        <w:rPr>
          <w:rFonts w:eastAsia="Times New Roman" w:cs="Times New Roman"/>
          <w:i/>
          <w:iCs/>
          <w:color w:val="252525"/>
          <w:shd w:val="clear" w:color="auto" w:fill="FFFFFF"/>
        </w:rPr>
        <w:t>musculus</w:t>
      </w:r>
      <w:proofErr w:type="spellEnd"/>
      <w:r w:rsidR="00EC3168">
        <w:rPr>
          <w:rFonts w:eastAsia="Times New Roman" w:cs="Times New Roman"/>
          <w:iCs/>
          <w:color w:val="252525"/>
          <w:shd w:val="clear" w:color="auto" w:fill="FFFFFF"/>
        </w:rPr>
        <w:t xml:space="preserve">) and </w:t>
      </w:r>
      <w:r w:rsidR="00EC3168" w:rsidRPr="00EC3168">
        <w:rPr>
          <w:rFonts w:eastAsia="Times New Roman" w:cs="Times New Roman"/>
          <w:i/>
          <w:iCs/>
          <w:color w:val="252525"/>
          <w:shd w:val="clear" w:color="auto" w:fill="FFFFFF"/>
        </w:rPr>
        <w:t xml:space="preserve">Saccharomyces </w:t>
      </w:r>
      <w:proofErr w:type="spellStart"/>
      <w:r w:rsidR="00EC3168" w:rsidRPr="00EC3168">
        <w:rPr>
          <w:rFonts w:eastAsia="Times New Roman" w:cs="Times New Roman"/>
          <w:i/>
          <w:iCs/>
          <w:color w:val="252525"/>
          <w:shd w:val="clear" w:color="auto" w:fill="FFFFFF"/>
        </w:rPr>
        <w:t>cerevisiae</w:t>
      </w:r>
      <w:proofErr w:type="spellEnd"/>
      <w:r w:rsidR="003E7051">
        <w:rPr>
          <w:rFonts w:eastAsia="Times New Roman" w:cs="Times New Roman"/>
          <w:iCs/>
          <w:color w:val="252525"/>
          <w:shd w:val="clear" w:color="auto" w:fill="FFFFFF"/>
        </w:rPr>
        <w:t xml:space="preserve"> as model systems, due to similar disease phenotypes to humans and </w:t>
      </w:r>
      <w:r w:rsidR="003E7051" w:rsidRPr="003E7051">
        <w:rPr>
          <w:rFonts w:eastAsia="Times New Roman" w:cs="Times New Roman"/>
          <w:iCs/>
          <w:color w:val="252525"/>
          <w:shd w:val="clear" w:color="auto" w:fill="FFFFFF"/>
        </w:rPr>
        <w:t>high throughput</w:t>
      </w:r>
      <w:r w:rsidR="003E7051">
        <w:rPr>
          <w:rFonts w:eastAsia="Times New Roman" w:cs="Times New Roman"/>
          <w:iCs/>
          <w:color w:val="252525"/>
          <w:shd w:val="clear" w:color="auto" w:fill="FFFFFF"/>
        </w:rPr>
        <w:t xml:space="preserve"> </w:t>
      </w:r>
      <w:proofErr w:type="spellStart"/>
      <w:r w:rsidR="003E7051">
        <w:rPr>
          <w:rFonts w:eastAsia="Times New Roman" w:cs="Times New Roman"/>
          <w:iCs/>
          <w:color w:val="252525"/>
          <w:shd w:val="clear" w:color="auto" w:fill="FFFFFF"/>
        </w:rPr>
        <w:t>phenoty</w:t>
      </w:r>
      <w:r w:rsidR="00151F50">
        <w:rPr>
          <w:rFonts w:eastAsia="Times New Roman" w:cs="Times New Roman"/>
          <w:iCs/>
          <w:color w:val="252525"/>
          <w:shd w:val="clear" w:color="auto" w:fill="FFFFFF"/>
        </w:rPr>
        <w:t>p</w:t>
      </w:r>
      <w:r w:rsidR="003E7051">
        <w:rPr>
          <w:rFonts w:eastAsia="Times New Roman" w:cs="Times New Roman"/>
          <w:iCs/>
          <w:color w:val="252525"/>
          <w:shd w:val="clear" w:color="auto" w:fill="FFFFFF"/>
        </w:rPr>
        <w:t>ing</w:t>
      </w:r>
      <w:proofErr w:type="spellEnd"/>
      <w:r w:rsidR="003E7051">
        <w:rPr>
          <w:rFonts w:eastAsia="Times New Roman" w:cs="Times New Roman"/>
          <w:iCs/>
          <w:color w:val="252525"/>
          <w:shd w:val="clear" w:color="auto" w:fill="FFFFFF"/>
        </w:rPr>
        <w:t>, respectively.</w:t>
      </w:r>
    </w:p>
    <w:p w14:paraId="471D189F" w14:textId="77777777" w:rsidR="0036096B" w:rsidRDefault="0036096B" w:rsidP="00EC07FE">
      <w:pPr>
        <w:spacing w:line="360" w:lineRule="auto"/>
        <w:rPr>
          <w:rFonts w:eastAsia="Times New Roman" w:cs="Times New Roman"/>
          <w:iCs/>
          <w:color w:val="252525"/>
          <w:shd w:val="clear" w:color="auto" w:fill="FFFFFF"/>
        </w:rPr>
      </w:pPr>
    </w:p>
    <w:p w14:paraId="0C57C90F" w14:textId="03679E05" w:rsidR="00F30319" w:rsidRPr="00030CA8" w:rsidRDefault="00F30319" w:rsidP="00EC07FE">
      <w:pPr>
        <w:spacing w:line="360" w:lineRule="auto"/>
        <w:rPr>
          <w:rFonts w:eastAsia="Times New Roman" w:cs="Times New Roman"/>
        </w:rPr>
      </w:pPr>
      <w:r w:rsidRPr="00F30319">
        <w:rPr>
          <w:rFonts w:eastAsia="Times New Roman" w:cs="Times New Roman"/>
          <w:iCs/>
          <w:color w:val="252525"/>
          <w:u w:val="single"/>
          <w:shd w:val="clear" w:color="auto" w:fill="FFFFFF"/>
        </w:rPr>
        <w:t>Aim 1</w:t>
      </w:r>
      <w:r>
        <w:rPr>
          <w:rFonts w:eastAsia="Times New Roman" w:cs="Times New Roman"/>
          <w:iCs/>
          <w:color w:val="252525"/>
          <w:shd w:val="clear" w:color="auto" w:fill="FFFFFF"/>
        </w:rPr>
        <w:t xml:space="preserve">: Identity conserved amino acids in </w:t>
      </w:r>
      <w:r w:rsidRPr="00A351A9">
        <w:rPr>
          <w:rFonts w:eastAsia="Times New Roman" w:cs="Times New Roman"/>
          <w:i/>
          <w:iCs/>
          <w:color w:val="252525"/>
          <w:shd w:val="clear" w:color="auto" w:fill="FFFFFF"/>
        </w:rPr>
        <w:t>GALT</w:t>
      </w:r>
      <w:r>
        <w:rPr>
          <w:rFonts w:eastAsia="Times New Roman" w:cs="Times New Roman"/>
          <w:iCs/>
          <w:color w:val="252525"/>
          <w:shd w:val="clear" w:color="auto" w:fill="FFFFFF"/>
        </w:rPr>
        <w:t xml:space="preserve"> that ar</w:t>
      </w:r>
      <w:r w:rsidR="004C7C16">
        <w:rPr>
          <w:rFonts w:eastAsia="Times New Roman" w:cs="Times New Roman"/>
          <w:iCs/>
          <w:color w:val="252525"/>
          <w:shd w:val="clear" w:color="auto" w:fill="FFFFFF"/>
        </w:rPr>
        <w:t>e crucial to enzymatic activity and function.</w:t>
      </w:r>
      <w:r w:rsidR="00E5414E">
        <w:rPr>
          <w:rFonts w:eastAsia="Times New Roman" w:cs="Times New Roman"/>
          <w:iCs/>
          <w:color w:val="252525"/>
          <w:shd w:val="clear" w:color="auto" w:fill="FFFFFF"/>
        </w:rPr>
        <w:t xml:space="preserve"> </w:t>
      </w:r>
      <w:r w:rsidR="00E5414E" w:rsidRPr="00E5414E">
        <w:rPr>
          <w:rFonts w:eastAsia="Times New Roman" w:cs="Times New Roman"/>
          <w:b/>
          <w:iCs/>
          <w:color w:val="252525"/>
          <w:shd w:val="clear" w:color="auto" w:fill="FFFFFF"/>
        </w:rPr>
        <w:t>Approach</w:t>
      </w:r>
      <w:r w:rsidR="00E5414E">
        <w:rPr>
          <w:rFonts w:eastAsia="Times New Roman" w:cs="Times New Roman"/>
          <w:iCs/>
          <w:color w:val="252525"/>
          <w:shd w:val="clear" w:color="auto" w:fill="FFFFFF"/>
        </w:rPr>
        <w:t xml:space="preserve">: I will align the amino acid sequences of human disease variants to the wild type sequence to identify </w:t>
      </w:r>
      <w:r w:rsidR="00E9250C">
        <w:rPr>
          <w:rFonts w:eastAsia="Times New Roman" w:cs="Times New Roman"/>
          <w:iCs/>
          <w:color w:val="252525"/>
          <w:shd w:val="clear" w:color="auto" w:fill="FFFFFF"/>
        </w:rPr>
        <w:t>amino acids that are critical to function. I will then characterize the phenotypes of these variants</w:t>
      </w:r>
      <w:r w:rsidR="00057A71">
        <w:rPr>
          <w:rFonts w:eastAsia="Times New Roman" w:cs="Times New Roman"/>
          <w:iCs/>
          <w:color w:val="252525"/>
          <w:shd w:val="clear" w:color="auto" w:fill="FFFFFF"/>
        </w:rPr>
        <w:t xml:space="preserve"> via growth of </w:t>
      </w:r>
      <w:r w:rsidR="00057A71" w:rsidRPr="00351B50">
        <w:rPr>
          <w:rFonts w:eastAsia="Times New Roman" w:cs="Times New Roman"/>
          <w:i/>
          <w:iCs/>
          <w:color w:val="252525"/>
          <w:shd w:val="clear" w:color="auto" w:fill="FFFFFF"/>
        </w:rPr>
        <w:t xml:space="preserve">S. </w:t>
      </w:r>
      <w:proofErr w:type="spellStart"/>
      <w:r w:rsidR="00057A71" w:rsidRPr="00351B50">
        <w:rPr>
          <w:rFonts w:eastAsia="Times New Roman" w:cs="Times New Roman"/>
          <w:i/>
          <w:iCs/>
          <w:color w:val="252525"/>
          <w:shd w:val="clear" w:color="auto" w:fill="FFFFFF"/>
        </w:rPr>
        <w:t>cerevisiae</w:t>
      </w:r>
      <w:proofErr w:type="spellEnd"/>
      <w:r w:rsidR="00057A71">
        <w:rPr>
          <w:rFonts w:eastAsia="Times New Roman" w:cs="Times New Roman"/>
          <w:iCs/>
          <w:color w:val="252525"/>
          <w:shd w:val="clear" w:color="auto" w:fill="FFFFFF"/>
        </w:rPr>
        <w:t xml:space="preserve"> in </w:t>
      </w:r>
      <w:proofErr w:type="spellStart"/>
      <w:r w:rsidR="00057A71">
        <w:rPr>
          <w:rFonts w:eastAsia="Times New Roman" w:cs="Times New Roman"/>
          <w:iCs/>
          <w:color w:val="252525"/>
          <w:shd w:val="clear" w:color="auto" w:fill="FFFFFF"/>
        </w:rPr>
        <w:t>gala</w:t>
      </w:r>
      <w:r w:rsidR="00351B50">
        <w:rPr>
          <w:rFonts w:eastAsia="Times New Roman" w:cs="Times New Roman"/>
          <w:iCs/>
          <w:color w:val="252525"/>
          <w:shd w:val="clear" w:color="auto" w:fill="FFFFFF"/>
        </w:rPr>
        <w:t>c</w:t>
      </w:r>
      <w:r w:rsidR="00057A71">
        <w:rPr>
          <w:rFonts w:eastAsia="Times New Roman" w:cs="Times New Roman"/>
          <w:iCs/>
          <w:color w:val="252525"/>
          <w:shd w:val="clear" w:color="auto" w:fill="FFFFFF"/>
        </w:rPr>
        <w:t>tose</w:t>
      </w:r>
      <w:proofErr w:type="spellEnd"/>
      <w:r w:rsidR="00057A71">
        <w:rPr>
          <w:rFonts w:eastAsia="Times New Roman" w:cs="Times New Roman"/>
          <w:iCs/>
          <w:color w:val="252525"/>
          <w:shd w:val="clear" w:color="auto" w:fill="FFFFFF"/>
        </w:rPr>
        <w:t xml:space="preserve"> expressing the</w:t>
      </w:r>
      <w:r w:rsidR="00144515">
        <w:rPr>
          <w:rFonts w:eastAsia="Times New Roman" w:cs="Times New Roman"/>
          <w:iCs/>
          <w:color w:val="252525"/>
          <w:shd w:val="clear" w:color="auto" w:fill="FFFFFF"/>
        </w:rPr>
        <w:t>se</w:t>
      </w:r>
      <w:r w:rsidR="00057A71">
        <w:rPr>
          <w:rFonts w:eastAsia="Times New Roman" w:cs="Times New Roman"/>
          <w:iCs/>
          <w:color w:val="252525"/>
          <w:shd w:val="clear" w:color="auto" w:fill="FFFFFF"/>
        </w:rPr>
        <w:t xml:space="preserve"> </w:t>
      </w:r>
      <w:r w:rsidR="00351B50">
        <w:rPr>
          <w:rFonts w:eastAsia="Times New Roman" w:cs="Times New Roman"/>
          <w:iCs/>
          <w:color w:val="252525"/>
          <w:shd w:val="clear" w:color="auto" w:fill="FFFFFF"/>
        </w:rPr>
        <w:t>human</w:t>
      </w:r>
      <w:r w:rsidR="00B07225">
        <w:rPr>
          <w:rFonts w:eastAsia="Times New Roman" w:cs="Times New Roman"/>
          <w:iCs/>
          <w:color w:val="252525"/>
          <w:shd w:val="clear" w:color="auto" w:fill="FFFFFF"/>
        </w:rPr>
        <w:t xml:space="preserve"> </w:t>
      </w:r>
      <w:r w:rsidR="00B07225" w:rsidRPr="00B07225">
        <w:rPr>
          <w:rFonts w:eastAsia="Times New Roman" w:cs="Times New Roman"/>
          <w:i/>
          <w:iCs/>
          <w:color w:val="252525"/>
          <w:shd w:val="clear" w:color="auto" w:fill="FFFFFF"/>
        </w:rPr>
        <w:t>GALT</w:t>
      </w:r>
      <w:r w:rsidR="00351B50">
        <w:rPr>
          <w:rFonts w:eastAsia="Times New Roman" w:cs="Times New Roman"/>
          <w:iCs/>
          <w:color w:val="252525"/>
          <w:shd w:val="clear" w:color="auto" w:fill="FFFFFF"/>
        </w:rPr>
        <w:t xml:space="preserve"> gene sequences</w:t>
      </w:r>
      <w:r w:rsidR="00E9250C">
        <w:rPr>
          <w:rFonts w:eastAsia="Times New Roman" w:cs="Times New Roman"/>
          <w:iCs/>
          <w:color w:val="252525"/>
          <w:shd w:val="clear" w:color="auto" w:fill="FFFFFF"/>
        </w:rPr>
        <w:t xml:space="preserve">. </w:t>
      </w:r>
      <w:r w:rsidR="00E9250C" w:rsidRPr="00E9250C">
        <w:rPr>
          <w:rFonts w:eastAsia="Times New Roman" w:cs="Times New Roman"/>
          <w:b/>
          <w:iCs/>
          <w:color w:val="252525"/>
          <w:shd w:val="clear" w:color="auto" w:fill="FFFFFF"/>
        </w:rPr>
        <w:t>Hypothesis</w:t>
      </w:r>
      <w:r w:rsidR="00E9250C">
        <w:rPr>
          <w:rFonts w:eastAsia="Times New Roman" w:cs="Times New Roman"/>
          <w:iCs/>
          <w:color w:val="252525"/>
          <w:shd w:val="clear" w:color="auto" w:fill="FFFFFF"/>
        </w:rPr>
        <w:t xml:space="preserve">: </w:t>
      </w:r>
      <w:r w:rsidR="00DE6F16">
        <w:rPr>
          <w:rFonts w:eastAsia="Times New Roman" w:cs="Times New Roman"/>
          <w:iCs/>
          <w:color w:val="252525"/>
          <w:shd w:val="clear" w:color="auto" w:fill="FFFFFF"/>
        </w:rPr>
        <w:t xml:space="preserve">Most common human disease variants will result </w:t>
      </w:r>
      <w:r w:rsidR="00030CA8">
        <w:rPr>
          <w:rFonts w:eastAsia="Times New Roman" w:cs="Times New Roman"/>
          <w:iCs/>
          <w:color w:val="252525"/>
          <w:shd w:val="clear" w:color="auto" w:fill="FFFFFF"/>
        </w:rPr>
        <w:t xml:space="preserve">reduced growth rates in </w:t>
      </w:r>
      <w:r w:rsidR="00030CA8" w:rsidRPr="00030CA8">
        <w:rPr>
          <w:rFonts w:eastAsia="Times New Roman" w:cs="Times New Roman"/>
          <w:i/>
          <w:iCs/>
          <w:color w:val="252525"/>
          <w:shd w:val="clear" w:color="auto" w:fill="FFFFFF"/>
        </w:rPr>
        <w:t xml:space="preserve">S. </w:t>
      </w:r>
      <w:proofErr w:type="spellStart"/>
      <w:r w:rsidR="00030CA8" w:rsidRPr="00030CA8">
        <w:rPr>
          <w:rFonts w:eastAsia="Times New Roman" w:cs="Times New Roman"/>
          <w:i/>
          <w:iCs/>
          <w:color w:val="252525"/>
          <w:shd w:val="clear" w:color="auto" w:fill="FFFFFF"/>
        </w:rPr>
        <w:t>cerevisiae</w:t>
      </w:r>
      <w:proofErr w:type="spellEnd"/>
      <w:r w:rsidR="00030CA8">
        <w:rPr>
          <w:rFonts w:eastAsia="Times New Roman" w:cs="Times New Roman"/>
          <w:iCs/>
          <w:color w:val="252525"/>
          <w:shd w:val="clear" w:color="auto" w:fill="FFFFFF"/>
        </w:rPr>
        <w:t xml:space="preserve">, while some disease variants will not cause a change in growth on </w:t>
      </w:r>
      <w:proofErr w:type="spellStart"/>
      <w:r w:rsidR="00030CA8">
        <w:rPr>
          <w:rFonts w:eastAsia="Times New Roman" w:cs="Times New Roman"/>
          <w:iCs/>
          <w:color w:val="252525"/>
          <w:shd w:val="clear" w:color="auto" w:fill="FFFFFF"/>
        </w:rPr>
        <w:t>galactose</w:t>
      </w:r>
      <w:proofErr w:type="spellEnd"/>
      <w:r w:rsidR="00030CA8">
        <w:rPr>
          <w:rFonts w:eastAsia="Times New Roman" w:cs="Times New Roman"/>
          <w:iCs/>
          <w:color w:val="252525"/>
          <w:shd w:val="clear" w:color="auto" w:fill="FFFFFF"/>
        </w:rPr>
        <w:t xml:space="preserve">. </w:t>
      </w:r>
      <w:r w:rsidR="00030CA8">
        <w:rPr>
          <w:rFonts w:eastAsia="Times New Roman" w:cs="Times New Roman"/>
          <w:b/>
          <w:iCs/>
          <w:color w:val="252525"/>
          <w:shd w:val="clear" w:color="auto" w:fill="FFFFFF"/>
        </w:rPr>
        <w:t>Rationale</w:t>
      </w:r>
      <w:r w:rsidR="00030CA8">
        <w:rPr>
          <w:rFonts w:eastAsia="Times New Roman" w:cs="Times New Roman"/>
          <w:iCs/>
          <w:color w:val="252525"/>
          <w:shd w:val="clear" w:color="auto" w:fill="FFFFFF"/>
        </w:rPr>
        <w:t xml:space="preserve">: </w:t>
      </w:r>
      <w:r w:rsidR="00166732">
        <w:rPr>
          <w:rFonts w:eastAsia="Times New Roman" w:cs="Times New Roman"/>
          <w:iCs/>
          <w:color w:val="252525"/>
          <w:shd w:val="clear" w:color="auto" w:fill="FFFFFF"/>
        </w:rPr>
        <w:t>Identifying human</w:t>
      </w:r>
      <w:r w:rsidR="00166732" w:rsidRPr="00166732">
        <w:rPr>
          <w:rFonts w:eastAsia="Times New Roman" w:cs="Times New Roman"/>
          <w:i/>
          <w:iCs/>
          <w:color w:val="252525"/>
          <w:shd w:val="clear" w:color="auto" w:fill="FFFFFF"/>
        </w:rPr>
        <w:t xml:space="preserve"> GALT </w:t>
      </w:r>
      <w:r w:rsidR="00166732">
        <w:rPr>
          <w:rFonts w:eastAsia="Times New Roman" w:cs="Times New Roman"/>
          <w:iCs/>
          <w:color w:val="252525"/>
          <w:shd w:val="clear" w:color="auto" w:fill="FFFFFF"/>
        </w:rPr>
        <w:t xml:space="preserve">disease variants which do not alter </w:t>
      </w:r>
      <w:proofErr w:type="spellStart"/>
      <w:r w:rsidR="00166732">
        <w:rPr>
          <w:rFonts w:eastAsia="Times New Roman" w:cs="Times New Roman"/>
          <w:iCs/>
          <w:color w:val="252525"/>
          <w:shd w:val="clear" w:color="auto" w:fill="FFFFFF"/>
        </w:rPr>
        <w:t>galactose</w:t>
      </w:r>
      <w:proofErr w:type="spellEnd"/>
      <w:r w:rsidR="00166732">
        <w:rPr>
          <w:rFonts w:eastAsia="Times New Roman" w:cs="Times New Roman"/>
          <w:iCs/>
          <w:color w:val="252525"/>
          <w:shd w:val="clear" w:color="auto" w:fill="FFFFFF"/>
        </w:rPr>
        <w:t xml:space="preserve"> catabolism, may help identify residues which are involved in the broader function </w:t>
      </w:r>
      <w:bookmarkStart w:id="0" w:name="_GoBack"/>
      <w:bookmarkEnd w:id="0"/>
      <w:r w:rsidR="00166732">
        <w:rPr>
          <w:rFonts w:eastAsia="Times New Roman" w:cs="Times New Roman"/>
          <w:iCs/>
          <w:color w:val="252525"/>
          <w:shd w:val="clear" w:color="auto" w:fill="FFFFFF"/>
        </w:rPr>
        <w:t xml:space="preserve">of </w:t>
      </w:r>
      <w:r w:rsidR="00166732" w:rsidRPr="00166732">
        <w:rPr>
          <w:rFonts w:eastAsia="Times New Roman" w:cs="Times New Roman"/>
          <w:i/>
          <w:iCs/>
          <w:color w:val="252525"/>
          <w:shd w:val="clear" w:color="auto" w:fill="FFFFFF"/>
        </w:rPr>
        <w:t>GALT</w:t>
      </w:r>
      <w:r w:rsidR="00166732">
        <w:rPr>
          <w:rFonts w:eastAsia="Times New Roman" w:cs="Times New Roman"/>
          <w:iCs/>
          <w:color w:val="252525"/>
          <w:shd w:val="clear" w:color="auto" w:fill="FFFFFF"/>
        </w:rPr>
        <w:t>.</w:t>
      </w:r>
    </w:p>
    <w:p w14:paraId="765AC1D3" w14:textId="52FE21A5" w:rsidR="00B04FEA" w:rsidRPr="00E333CF" w:rsidRDefault="00B04FEA" w:rsidP="000758E5">
      <w:pPr>
        <w:spacing w:line="276" w:lineRule="auto"/>
        <w:rPr>
          <w:rFonts w:eastAsia="Gulim" w:cs="Calibri"/>
        </w:rPr>
      </w:pPr>
    </w:p>
    <w:p w14:paraId="6B32570A" w14:textId="77777777" w:rsidR="00CA071F" w:rsidRPr="00B04FEA" w:rsidRDefault="00CA071F" w:rsidP="000758E5">
      <w:pPr>
        <w:spacing w:line="276" w:lineRule="auto"/>
        <w:rPr>
          <w:rFonts w:ascii="Times" w:eastAsia="Gulim" w:hAnsi="Times" w:cs="Calibri"/>
        </w:rPr>
      </w:pPr>
    </w:p>
    <w:p w14:paraId="424D0EEB" w14:textId="77777777" w:rsidR="001F6A28" w:rsidRPr="00BA7B8F" w:rsidRDefault="001F6A28" w:rsidP="000758E5">
      <w:pPr>
        <w:spacing w:line="276" w:lineRule="auto"/>
        <w:rPr>
          <w:rFonts w:ascii="Times" w:eastAsia="Gulim" w:hAnsi="Times" w:cs="Calibri"/>
        </w:rPr>
      </w:pPr>
    </w:p>
    <w:p w14:paraId="21421262" w14:textId="588B36AB" w:rsidR="001F6A28" w:rsidRPr="00702C86" w:rsidRDefault="001F6A28" w:rsidP="000758E5">
      <w:pPr>
        <w:spacing w:line="276" w:lineRule="auto"/>
        <w:rPr>
          <w:rFonts w:ascii="Times" w:eastAsia="Gulim" w:hAnsi="Times" w:cs="Calibri"/>
          <w:color w:val="000000" w:themeColor="text1"/>
        </w:rPr>
      </w:pPr>
      <w:r w:rsidRPr="00702C86">
        <w:rPr>
          <w:rFonts w:ascii="Times" w:eastAsia="Gulim" w:hAnsi="Times" w:cs="Calibri"/>
          <w:b/>
          <w:color w:val="000000" w:themeColor="text1"/>
        </w:rPr>
        <w:t>References</w:t>
      </w:r>
      <w:r w:rsidRPr="00702C86">
        <w:rPr>
          <w:rFonts w:ascii="Times" w:eastAsia="Gulim" w:hAnsi="Times" w:cs="Calibri"/>
          <w:color w:val="000000" w:themeColor="text1"/>
        </w:rPr>
        <w:t>:</w:t>
      </w:r>
    </w:p>
    <w:p w14:paraId="7EC7F83D" w14:textId="2A148DD3" w:rsidR="001F6A28" w:rsidRPr="00702C86" w:rsidRDefault="001F6A28" w:rsidP="000758E5">
      <w:pPr>
        <w:spacing w:line="276" w:lineRule="auto"/>
        <w:rPr>
          <w:rFonts w:ascii="Times" w:eastAsia="Gulim" w:hAnsi="Times" w:cs="Calibri"/>
          <w:color w:val="000000" w:themeColor="text1"/>
        </w:rPr>
      </w:pPr>
      <w:r w:rsidRPr="00702C86">
        <w:rPr>
          <w:rFonts w:ascii="Times" w:eastAsia="Gulim" w:hAnsi="Times" w:cs="Calibri"/>
          <w:color w:val="000000" w:themeColor="text1"/>
        </w:rPr>
        <w:t xml:space="preserve">1. </w:t>
      </w:r>
      <w:proofErr w:type="spellStart"/>
      <w:r w:rsidR="004C5FD5" w:rsidRPr="00702C86">
        <w:rPr>
          <w:rFonts w:ascii="Times" w:eastAsia="Gulim" w:hAnsi="Times" w:cs="Calibri"/>
          <w:color w:val="000000" w:themeColor="text1"/>
        </w:rPr>
        <w:t>Isselbacher</w:t>
      </w:r>
      <w:proofErr w:type="spellEnd"/>
      <w:r w:rsidR="004C5FD5" w:rsidRPr="00702C86">
        <w:rPr>
          <w:rFonts w:ascii="Times" w:eastAsia="Gulim" w:hAnsi="Times" w:cs="Calibri"/>
          <w:color w:val="000000" w:themeColor="text1"/>
        </w:rPr>
        <w:t xml:space="preserve"> KJ, Anderson EP, </w:t>
      </w:r>
      <w:proofErr w:type="spellStart"/>
      <w:r w:rsidR="004C5FD5" w:rsidRPr="00702C86">
        <w:rPr>
          <w:rFonts w:ascii="Times" w:eastAsia="Gulim" w:hAnsi="Times" w:cs="Calibri"/>
          <w:color w:val="000000" w:themeColor="text1"/>
        </w:rPr>
        <w:t>Kurahashi</w:t>
      </w:r>
      <w:proofErr w:type="spellEnd"/>
      <w:r w:rsidR="004C5FD5" w:rsidRPr="00702C86">
        <w:rPr>
          <w:rFonts w:ascii="Times" w:eastAsia="Gulim" w:hAnsi="Times" w:cs="Calibri"/>
          <w:color w:val="000000" w:themeColor="text1"/>
        </w:rPr>
        <w:t xml:space="preserve"> K, </w:t>
      </w:r>
      <w:proofErr w:type="spellStart"/>
      <w:r w:rsidR="004C5FD5" w:rsidRPr="00702C86">
        <w:rPr>
          <w:rFonts w:ascii="Times" w:eastAsia="Gulim" w:hAnsi="Times" w:cs="Calibri"/>
          <w:color w:val="000000" w:themeColor="text1"/>
        </w:rPr>
        <w:t>Kalckar</w:t>
      </w:r>
      <w:proofErr w:type="spellEnd"/>
      <w:r w:rsidR="004C5FD5" w:rsidRPr="00702C86">
        <w:rPr>
          <w:rFonts w:ascii="Times" w:eastAsia="Gulim" w:hAnsi="Times" w:cs="Calibri"/>
          <w:color w:val="000000" w:themeColor="text1"/>
        </w:rPr>
        <w:t xml:space="preserve"> HM (1956). "Congenital </w:t>
      </w:r>
      <w:proofErr w:type="spellStart"/>
      <w:r w:rsidR="004C5FD5" w:rsidRPr="00702C86">
        <w:rPr>
          <w:rFonts w:ascii="Times" w:eastAsia="Gulim" w:hAnsi="Times" w:cs="Calibri"/>
          <w:color w:val="000000" w:themeColor="text1"/>
        </w:rPr>
        <w:t>Galactosemia</w:t>
      </w:r>
      <w:proofErr w:type="spellEnd"/>
      <w:r w:rsidR="004C5FD5" w:rsidRPr="00702C86">
        <w:rPr>
          <w:rFonts w:ascii="Times" w:eastAsia="Gulim" w:hAnsi="Times" w:cs="Calibri"/>
          <w:color w:val="000000" w:themeColor="text1"/>
        </w:rPr>
        <w:t xml:space="preserve">, a single enzymatic block in </w:t>
      </w:r>
      <w:proofErr w:type="spellStart"/>
      <w:r w:rsidR="004C5FD5" w:rsidRPr="00702C86">
        <w:rPr>
          <w:rFonts w:ascii="Times" w:eastAsia="Gulim" w:hAnsi="Times" w:cs="Calibri"/>
          <w:color w:val="000000" w:themeColor="text1"/>
        </w:rPr>
        <w:t>galactose</w:t>
      </w:r>
      <w:proofErr w:type="spellEnd"/>
      <w:r w:rsidR="004C5FD5" w:rsidRPr="00702C86">
        <w:rPr>
          <w:rFonts w:ascii="Times" w:eastAsia="Gulim" w:hAnsi="Times" w:cs="Calibri"/>
          <w:color w:val="000000" w:themeColor="text1"/>
        </w:rPr>
        <w:t xml:space="preserve"> metabolism</w:t>
      </w:r>
      <w:r w:rsidR="003C7038" w:rsidRPr="00702C86">
        <w:rPr>
          <w:rFonts w:ascii="Times" w:eastAsia="Gulim" w:hAnsi="Times" w:cs="Calibri"/>
          <w:color w:val="000000" w:themeColor="text1"/>
        </w:rPr>
        <w:t>". Science. 13 (123): 635–</w:t>
      </w:r>
      <w:r w:rsidR="004C5FD5" w:rsidRPr="00702C86">
        <w:rPr>
          <w:rFonts w:ascii="Times" w:eastAsia="Gulim" w:hAnsi="Times" w:cs="Calibri"/>
          <w:color w:val="000000" w:themeColor="text1"/>
        </w:rPr>
        <w:t>6. doi:10.1126/science.123.3198.635</w:t>
      </w:r>
    </w:p>
    <w:p w14:paraId="56D1BA0A" w14:textId="593FA119" w:rsidR="00702C86" w:rsidRDefault="00463C50" w:rsidP="000758E5">
      <w:pPr>
        <w:spacing w:line="276" w:lineRule="auto"/>
        <w:rPr>
          <w:rFonts w:ascii="Times" w:eastAsia="Gulim" w:hAnsi="Times" w:cs="Calibri"/>
        </w:rPr>
      </w:pPr>
      <w:r>
        <w:rPr>
          <w:rFonts w:ascii="Times" w:eastAsia="Gulim" w:hAnsi="Times" w:cs="Calibri"/>
        </w:rPr>
        <w:t>2</w:t>
      </w:r>
      <w:r w:rsidR="00702C86">
        <w:rPr>
          <w:rFonts w:ascii="Times" w:eastAsia="Gulim" w:hAnsi="Times" w:cs="Calibri"/>
        </w:rPr>
        <w:t xml:space="preserve">. </w:t>
      </w:r>
      <w:r w:rsidR="00702C86" w:rsidRPr="00702C86">
        <w:rPr>
          <w:rFonts w:ascii="Times" w:eastAsia="Gulim" w:hAnsi="Times" w:cs="Calibri"/>
        </w:rPr>
        <w:t xml:space="preserve">Guerrero NV, Singh RH, </w:t>
      </w:r>
      <w:proofErr w:type="spellStart"/>
      <w:r w:rsidR="00702C86" w:rsidRPr="00702C86">
        <w:rPr>
          <w:rFonts w:ascii="Times" w:eastAsia="Gulim" w:hAnsi="Times" w:cs="Calibri"/>
        </w:rPr>
        <w:t>Manatunga</w:t>
      </w:r>
      <w:proofErr w:type="spellEnd"/>
      <w:r w:rsidR="00702C86" w:rsidRPr="00702C86">
        <w:rPr>
          <w:rFonts w:ascii="Times" w:eastAsia="Gulim" w:hAnsi="Times" w:cs="Calibri"/>
        </w:rPr>
        <w:t xml:space="preserve"> A, Berry GT, Steiner RD, </w:t>
      </w:r>
      <w:proofErr w:type="spellStart"/>
      <w:r w:rsidR="00702C86" w:rsidRPr="00702C86">
        <w:rPr>
          <w:rFonts w:ascii="Times" w:eastAsia="Gulim" w:hAnsi="Times" w:cs="Calibri"/>
        </w:rPr>
        <w:t>Elsas</w:t>
      </w:r>
      <w:proofErr w:type="spellEnd"/>
      <w:r w:rsidR="00702C86" w:rsidRPr="00702C86">
        <w:rPr>
          <w:rFonts w:ascii="Times" w:eastAsia="Gulim" w:hAnsi="Times" w:cs="Calibri"/>
        </w:rPr>
        <w:t xml:space="preserve"> LJ. Risk factors for premature ovarian failure in females with </w:t>
      </w:r>
      <w:proofErr w:type="spellStart"/>
      <w:r w:rsidR="00702C86" w:rsidRPr="00702C86">
        <w:rPr>
          <w:rFonts w:ascii="Times" w:eastAsia="Gulim" w:hAnsi="Times" w:cs="Calibri"/>
        </w:rPr>
        <w:t>galactosemia</w:t>
      </w:r>
      <w:proofErr w:type="spellEnd"/>
      <w:r w:rsidR="00702C86" w:rsidRPr="00702C86">
        <w:rPr>
          <w:rFonts w:ascii="Times" w:eastAsia="Gulim" w:hAnsi="Times" w:cs="Calibri"/>
        </w:rPr>
        <w:t xml:space="preserve">. J </w:t>
      </w:r>
      <w:proofErr w:type="spellStart"/>
      <w:r w:rsidR="00702C86" w:rsidRPr="00702C86">
        <w:rPr>
          <w:rFonts w:ascii="Times" w:eastAsia="Gulim" w:hAnsi="Times" w:cs="Calibri"/>
        </w:rPr>
        <w:t>Pediatr</w:t>
      </w:r>
      <w:proofErr w:type="spellEnd"/>
      <w:r w:rsidR="00702C86" w:rsidRPr="00702C86">
        <w:rPr>
          <w:rFonts w:ascii="Times" w:eastAsia="Gulim" w:hAnsi="Times" w:cs="Calibri"/>
        </w:rPr>
        <w:t xml:space="preserve">. </w:t>
      </w:r>
      <w:proofErr w:type="gramStart"/>
      <w:r w:rsidR="00702C86" w:rsidRPr="00702C86">
        <w:rPr>
          <w:rFonts w:ascii="Times" w:eastAsia="Gulim" w:hAnsi="Times" w:cs="Calibri"/>
        </w:rPr>
        <w:t>2000;137:833</w:t>
      </w:r>
      <w:proofErr w:type="gramEnd"/>
      <w:r w:rsidR="00702C86" w:rsidRPr="00702C86">
        <w:rPr>
          <w:rFonts w:ascii="Times" w:eastAsia="Gulim" w:hAnsi="Times" w:cs="Calibri"/>
        </w:rPr>
        <w:t>–41.</w:t>
      </w:r>
    </w:p>
    <w:p w14:paraId="6DAB97B9" w14:textId="54BBFA94" w:rsidR="00463C50" w:rsidRPr="00702C86" w:rsidRDefault="00463C50" w:rsidP="00463C50">
      <w:pPr>
        <w:spacing w:line="276" w:lineRule="auto"/>
        <w:rPr>
          <w:rFonts w:ascii="Times" w:eastAsia="Gulim" w:hAnsi="Times" w:cs="Calibri"/>
          <w:color w:val="000000" w:themeColor="text1"/>
        </w:rPr>
      </w:pPr>
      <w:r>
        <w:rPr>
          <w:rFonts w:ascii="Times" w:eastAsia="Gulim" w:hAnsi="Times" w:cs="Calibri"/>
          <w:color w:val="000000" w:themeColor="text1"/>
        </w:rPr>
        <w:t>3</w:t>
      </w:r>
      <w:r w:rsidRPr="00702C86">
        <w:rPr>
          <w:rFonts w:ascii="Times" w:eastAsia="Gulim" w:hAnsi="Times" w:cs="Calibri"/>
          <w:color w:val="000000" w:themeColor="text1"/>
        </w:rPr>
        <w:t>. Berry G</w:t>
      </w:r>
      <w:r w:rsidR="00BD01B3">
        <w:rPr>
          <w:rFonts w:ascii="Times" w:eastAsia="Gulim" w:hAnsi="Times" w:cs="Calibri"/>
          <w:color w:val="000000" w:themeColor="text1"/>
        </w:rPr>
        <w:t>T</w:t>
      </w:r>
      <w:r w:rsidRPr="00702C86">
        <w:rPr>
          <w:rFonts w:ascii="Times" w:eastAsia="Gulim" w:hAnsi="Times" w:cs="Calibri"/>
          <w:color w:val="000000" w:themeColor="text1"/>
        </w:rPr>
        <w:t xml:space="preserve">., 2014. Classic </w:t>
      </w:r>
      <w:proofErr w:type="spellStart"/>
      <w:r w:rsidRPr="00702C86">
        <w:rPr>
          <w:rFonts w:ascii="Times" w:eastAsia="Gulim" w:hAnsi="Times" w:cs="Calibri"/>
          <w:color w:val="000000" w:themeColor="text1"/>
        </w:rPr>
        <w:t>Galactosemia</w:t>
      </w:r>
      <w:proofErr w:type="spellEnd"/>
      <w:r w:rsidRPr="00702C86">
        <w:rPr>
          <w:rFonts w:ascii="Times" w:eastAsia="Gulim" w:hAnsi="Times" w:cs="Calibri"/>
          <w:color w:val="000000" w:themeColor="text1"/>
        </w:rPr>
        <w:t xml:space="preserve"> and Clinical Variant </w:t>
      </w:r>
      <w:proofErr w:type="spellStart"/>
      <w:r w:rsidRPr="00702C86">
        <w:rPr>
          <w:rFonts w:ascii="Times" w:eastAsia="Gulim" w:hAnsi="Times" w:cs="Calibri"/>
          <w:color w:val="000000" w:themeColor="text1"/>
        </w:rPr>
        <w:t>Galactosemia</w:t>
      </w:r>
      <w:proofErr w:type="spellEnd"/>
      <w:r w:rsidRPr="00702C86">
        <w:rPr>
          <w:rFonts w:ascii="Times" w:eastAsia="Gulim" w:hAnsi="Times" w:cs="Calibri"/>
          <w:color w:val="000000" w:themeColor="text1"/>
        </w:rPr>
        <w:t xml:space="preserve">. </w:t>
      </w:r>
      <w:proofErr w:type="spellStart"/>
      <w:r w:rsidRPr="00702C86">
        <w:rPr>
          <w:rFonts w:ascii="Times" w:eastAsia="Gulim" w:hAnsi="Times" w:cs="Calibri"/>
          <w:color w:val="000000" w:themeColor="text1"/>
        </w:rPr>
        <w:t>Retrived</w:t>
      </w:r>
      <w:proofErr w:type="spellEnd"/>
      <w:r w:rsidRPr="00702C86">
        <w:rPr>
          <w:rFonts w:ascii="Times" w:eastAsia="Gulim" w:hAnsi="Times" w:cs="Calibri"/>
          <w:color w:val="000000" w:themeColor="text1"/>
        </w:rPr>
        <w:t xml:space="preserve"> from: </w:t>
      </w:r>
      <w:hyperlink r:id="rId6" w:history="1">
        <w:r w:rsidRPr="00702C86">
          <w:rPr>
            <w:rStyle w:val="Hyperlink"/>
            <w:rFonts w:ascii="Times" w:eastAsia="Gulim" w:hAnsi="Times" w:cs="Calibri"/>
            <w:color w:val="000000" w:themeColor="text1"/>
            <w:u w:val="none"/>
          </w:rPr>
          <w:t>https://www.ncbi.nlm.nih.gov/books/NBK1518/</w:t>
        </w:r>
      </w:hyperlink>
    </w:p>
    <w:p w14:paraId="2747198A" w14:textId="289F3191" w:rsidR="00463C50" w:rsidRPr="00BA7B8F" w:rsidRDefault="00D310BC" w:rsidP="000758E5">
      <w:pPr>
        <w:spacing w:line="276" w:lineRule="auto"/>
        <w:rPr>
          <w:rFonts w:ascii="Times" w:eastAsia="Gulim" w:hAnsi="Times" w:cs="Calibri"/>
        </w:rPr>
      </w:pPr>
      <w:r>
        <w:rPr>
          <w:rFonts w:ascii="Times" w:eastAsia="Gulim" w:hAnsi="Times" w:cs="Calibri"/>
        </w:rPr>
        <w:lastRenderedPageBreak/>
        <w:t xml:space="preserve">4. </w:t>
      </w:r>
      <w:r w:rsidRPr="00D310BC">
        <w:rPr>
          <w:rFonts w:ascii="Times" w:eastAsia="Gulim" w:hAnsi="Times" w:cs="Calibri"/>
        </w:rPr>
        <w:t xml:space="preserve">Berry GT, </w:t>
      </w:r>
      <w:proofErr w:type="spellStart"/>
      <w:r w:rsidRPr="00D310BC">
        <w:rPr>
          <w:rFonts w:ascii="Times" w:eastAsia="Gulim" w:hAnsi="Times" w:cs="Calibri"/>
        </w:rPr>
        <w:t>Moate</w:t>
      </w:r>
      <w:proofErr w:type="spellEnd"/>
      <w:r w:rsidRPr="00D310BC">
        <w:rPr>
          <w:rFonts w:ascii="Times" w:eastAsia="Gulim" w:hAnsi="Times" w:cs="Calibri"/>
        </w:rPr>
        <w:t xml:space="preserve"> PJ, Reynolds RA, </w:t>
      </w:r>
      <w:proofErr w:type="spellStart"/>
      <w:r w:rsidRPr="00D310BC">
        <w:rPr>
          <w:rFonts w:ascii="Times" w:eastAsia="Gulim" w:hAnsi="Times" w:cs="Calibri"/>
        </w:rPr>
        <w:t>Yager</w:t>
      </w:r>
      <w:proofErr w:type="spellEnd"/>
      <w:r w:rsidRPr="00D310BC">
        <w:rPr>
          <w:rFonts w:ascii="Times" w:eastAsia="Gulim" w:hAnsi="Times" w:cs="Calibri"/>
        </w:rPr>
        <w:t xml:space="preserve"> CT, </w:t>
      </w:r>
      <w:proofErr w:type="spellStart"/>
      <w:r w:rsidRPr="00D310BC">
        <w:rPr>
          <w:rFonts w:ascii="Times" w:eastAsia="Gulim" w:hAnsi="Times" w:cs="Calibri"/>
        </w:rPr>
        <w:t>Ning</w:t>
      </w:r>
      <w:proofErr w:type="spellEnd"/>
      <w:r w:rsidRPr="00D310BC">
        <w:rPr>
          <w:rFonts w:ascii="Times" w:eastAsia="Gulim" w:hAnsi="Times" w:cs="Calibri"/>
        </w:rPr>
        <w:t xml:space="preserve"> C, Boston RC, Segal S. The rate of de novo </w:t>
      </w:r>
      <w:proofErr w:type="spellStart"/>
      <w:r w:rsidRPr="00D310BC">
        <w:rPr>
          <w:rFonts w:ascii="Times" w:eastAsia="Gulim" w:hAnsi="Times" w:cs="Calibri"/>
        </w:rPr>
        <w:t>galactose</w:t>
      </w:r>
      <w:proofErr w:type="spellEnd"/>
      <w:r w:rsidRPr="00D310BC">
        <w:rPr>
          <w:rFonts w:ascii="Times" w:eastAsia="Gulim" w:hAnsi="Times" w:cs="Calibri"/>
        </w:rPr>
        <w:t xml:space="preserve"> synthesis in patients with galactose-1-phosphate </w:t>
      </w:r>
      <w:proofErr w:type="spellStart"/>
      <w:r w:rsidRPr="00D310BC">
        <w:rPr>
          <w:rFonts w:ascii="Times" w:eastAsia="Gulim" w:hAnsi="Times" w:cs="Calibri"/>
        </w:rPr>
        <w:t>uridyltransferase</w:t>
      </w:r>
      <w:proofErr w:type="spellEnd"/>
      <w:r w:rsidRPr="00D310BC">
        <w:rPr>
          <w:rFonts w:ascii="Times" w:eastAsia="Gulim" w:hAnsi="Times" w:cs="Calibri"/>
        </w:rPr>
        <w:t xml:space="preserve"> deficiency. </w:t>
      </w:r>
      <w:proofErr w:type="spellStart"/>
      <w:r w:rsidRPr="00D310BC">
        <w:rPr>
          <w:rFonts w:ascii="Times" w:eastAsia="Gulim" w:hAnsi="Times" w:cs="Calibri"/>
        </w:rPr>
        <w:t>Mol</w:t>
      </w:r>
      <w:proofErr w:type="spellEnd"/>
      <w:r w:rsidRPr="00D310BC">
        <w:rPr>
          <w:rFonts w:ascii="Times" w:eastAsia="Gulim" w:hAnsi="Times" w:cs="Calibri"/>
        </w:rPr>
        <w:t xml:space="preserve"> Genet </w:t>
      </w:r>
      <w:proofErr w:type="spellStart"/>
      <w:r w:rsidRPr="00D310BC">
        <w:rPr>
          <w:rFonts w:ascii="Times" w:eastAsia="Gulim" w:hAnsi="Times" w:cs="Calibri"/>
        </w:rPr>
        <w:t>Metab</w:t>
      </w:r>
      <w:proofErr w:type="spellEnd"/>
      <w:r w:rsidRPr="00D310BC">
        <w:rPr>
          <w:rFonts w:ascii="Times" w:eastAsia="Gulim" w:hAnsi="Times" w:cs="Calibri"/>
        </w:rPr>
        <w:t xml:space="preserve">. </w:t>
      </w:r>
      <w:proofErr w:type="gramStart"/>
      <w:r w:rsidRPr="00D310BC">
        <w:rPr>
          <w:rFonts w:ascii="Times" w:eastAsia="Gulim" w:hAnsi="Times" w:cs="Calibri"/>
        </w:rPr>
        <w:t>2004;81:22</w:t>
      </w:r>
      <w:proofErr w:type="gramEnd"/>
      <w:r w:rsidRPr="00D310BC">
        <w:rPr>
          <w:rFonts w:ascii="Times" w:eastAsia="Gulim" w:hAnsi="Times" w:cs="Calibri"/>
        </w:rPr>
        <w:t>–30.</w:t>
      </w:r>
    </w:p>
    <w:sectPr w:rsidR="00463C50" w:rsidRPr="00BA7B8F" w:rsidSect="00F937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E12BB" w14:textId="77777777" w:rsidR="00B329F7" w:rsidRDefault="00B329F7" w:rsidP="000E6D40">
      <w:r>
        <w:separator/>
      </w:r>
    </w:p>
  </w:endnote>
  <w:endnote w:type="continuationSeparator" w:id="0">
    <w:p w14:paraId="2D305D0F" w14:textId="77777777" w:rsidR="00B329F7" w:rsidRDefault="00B329F7" w:rsidP="000E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ulim"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5D2B1" w14:textId="77777777" w:rsidR="00B329F7" w:rsidRDefault="00B329F7" w:rsidP="000E6D40">
      <w:r>
        <w:separator/>
      </w:r>
    </w:p>
  </w:footnote>
  <w:footnote w:type="continuationSeparator" w:id="0">
    <w:p w14:paraId="59250A56" w14:textId="77777777" w:rsidR="00B329F7" w:rsidRDefault="00B329F7" w:rsidP="000E6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40"/>
    <w:rsid w:val="00030CA8"/>
    <w:rsid w:val="0005776B"/>
    <w:rsid w:val="00057A71"/>
    <w:rsid w:val="000758E5"/>
    <w:rsid w:val="00080F8A"/>
    <w:rsid w:val="000E6D40"/>
    <w:rsid w:val="00144515"/>
    <w:rsid w:val="00151F50"/>
    <w:rsid w:val="00154CE3"/>
    <w:rsid w:val="00161F9E"/>
    <w:rsid w:val="00166732"/>
    <w:rsid w:val="001E50CF"/>
    <w:rsid w:val="001F433F"/>
    <w:rsid w:val="001F6A28"/>
    <w:rsid w:val="001F715E"/>
    <w:rsid w:val="0020689C"/>
    <w:rsid w:val="002A320B"/>
    <w:rsid w:val="002E4817"/>
    <w:rsid w:val="002F0A10"/>
    <w:rsid w:val="00351B50"/>
    <w:rsid w:val="003560F5"/>
    <w:rsid w:val="00356C56"/>
    <w:rsid w:val="0036096B"/>
    <w:rsid w:val="003B4B06"/>
    <w:rsid w:val="003C7038"/>
    <w:rsid w:val="003E7051"/>
    <w:rsid w:val="0042640E"/>
    <w:rsid w:val="00462625"/>
    <w:rsid w:val="00463C50"/>
    <w:rsid w:val="00494540"/>
    <w:rsid w:val="004C5FD5"/>
    <w:rsid w:val="004C6E4D"/>
    <w:rsid w:val="004C7C16"/>
    <w:rsid w:val="00534C0A"/>
    <w:rsid w:val="00535E1D"/>
    <w:rsid w:val="005530CF"/>
    <w:rsid w:val="005C3440"/>
    <w:rsid w:val="0061479C"/>
    <w:rsid w:val="006B47AE"/>
    <w:rsid w:val="006F3739"/>
    <w:rsid w:val="00702C86"/>
    <w:rsid w:val="0071524A"/>
    <w:rsid w:val="007250B7"/>
    <w:rsid w:val="00753D59"/>
    <w:rsid w:val="00793C64"/>
    <w:rsid w:val="007D28D3"/>
    <w:rsid w:val="007D3E8F"/>
    <w:rsid w:val="007E58F7"/>
    <w:rsid w:val="008371E2"/>
    <w:rsid w:val="00867172"/>
    <w:rsid w:val="008B6705"/>
    <w:rsid w:val="00902966"/>
    <w:rsid w:val="00914196"/>
    <w:rsid w:val="00964FBA"/>
    <w:rsid w:val="00990E65"/>
    <w:rsid w:val="009929B9"/>
    <w:rsid w:val="009B7F91"/>
    <w:rsid w:val="00A23683"/>
    <w:rsid w:val="00A34FA2"/>
    <w:rsid w:val="00A351A9"/>
    <w:rsid w:val="00A62327"/>
    <w:rsid w:val="00AA1F7A"/>
    <w:rsid w:val="00AD5FD5"/>
    <w:rsid w:val="00B04FEA"/>
    <w:rsid w:val="00B07225"/>
    <w:rsid w:val="00B329F7"/>
    <w:rsid w:val="00B32CA6"/>
    <w:rsid w:val="00B51129"/>
    <w:rsid w:val="00B72126"/>
    <w:rsid w:val="00BA7B8F"/>
    <w:rsid w:val="00BC08FD"/>
    <w:rsid w:val="00BD01B3"/>
    <w:rsid w:val="00C25006"/>
    <w:rsid w:val="00C44C2E"/>
    <w:rsid w:val="00CA071F"/>
    <w:rsid w:val="00CB3E82"/>
    <w:rsid w:val="00D018AD"/>
    <w:rsid w:val="00D06669"/>
    <w:rsid w:val="00D20782"/>
    <w:rsid w:val="00D228E5"/>
    <w:rsid w:val="00D310BC"/>
    <w:rsid w:val="00DA19AA"/>
    <w:rsid w:val="00DD6F9A"/>
    <w:rsid w:val="00DE6F16"/>
    <w:rsid w:val="00DF177B"/>
    <w:rsid w:val="00DF47A7"/>
    <w:rsid w:val="00E0022B"/>
    <w:rsid w:val="00E32A7E"/>
    <w:rsid w:val="00E333CF"/>
    <w:rsid w:val="00E33573"/>
    <w:rsid w:val="00E35EFB"/>
    <w:rsid w:val="00E5414E"/>
    <w:rsid w:val="00E9250C"/>
    <w:rsid w:val="00EC07FE"/>
    <w:rsid w:val="00EC3168"/>
    <w:rsid w:val="00F30319"/>
    <w:rsid w:val="00F31D78"/>
    <w:rsid w:val="00F85ECA"/>
    <w:rsid w:val="00F9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F723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D40"/>
  </w:style>
  <w:style w:type="paragraph" w:styleId="Footer">
    <w:name w:val="footer"/>
    <w:basedOn w:val="Normal"/>
    <w:link w:val="FooterChar"/>
    <w:uiPriority w:val="99"/>
    <w:unhideWhenUsed/>
    <w:rsid w:val="000E6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D40"/>
  </w:style>
  <w:style w:type="character" w:styleId="Hyperlink">
    <w:name w:val="Hyperlink"/>
    <w:basedOn w:val="DefaultParagraphFont"/>
    <w:uiPriority w:val="99"/>
    <w:unhideWhenUsed/>
    <w:rsid w:val="00702C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0E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ncbi.nlm.nih.gov/books/NBK1518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473</Words>
  <Characters>2702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Haase</dc:creator>
  <cp:keywords/>
  <dc:description/>
  <cp:lastModifiedBy>Max Haase</cp:lastModifiedBy>
  <cp:revision>84</cp:revision>
  <dcterms:created xsi:type="dcterms:W3CDTF">2017-02-07T14:54:00Z</dcterms:created>
  <dcterms:modified xsi:type="dcterms:W3CDTF">2017-02-28T02:33:00Z</dcterms:modified>
</cp:coreProperties>
</file>